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России от 31.01.2012 N 69н</w:t>
              <w:br/>
              <w:t xml:space="preserve">(ред. от 21.02.2020)</w:t>
              <w:br/>
              <w:t xml:space="preserve">"Об утверждении порядка оказания медицинской помощи взрослым больным при инфекционных заболеваниях"</w:t>
              <w:br/>
              <w:t xml:space="preserve">(Зарегистрировано в Минюсте России 04.04.2012 N 23726)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4 апреля 2012 г. N 23726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2012 г. N 69н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ВЗРОСЛЫМ БОЛЬНЫМ</w:t>
      </w:r>
    </w:p>
    <w:p>
      <w:pPr>
        <w:pStyle w:val="2"/>
        <w:jc w:val="center"/>
      </w:pPr>
      <w:r>
        <w:rPr>
          <w:sz w:val="20"/>
        </w:rPr>
        <w:t xml:space="preserve">ПРИ ИНФЕКЦИОННЫХ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взрослым больным при инфекционных заболеваниях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ВЗРОСЛЫМ БОЛЬНЫМ</w:t>
      </w:r>
    </w:p>
    <w:p>
      <w:pPr>
        <w:pStyle w:val="2"/>
        <w:jc w:val="center"/>
      </w:pPr>
      <w:r>
        <w:rPr>
          <w:sz w:val="20"/>
        </w:rPr>
        <w:t xml:space="preserve">ПРИ ИНФЕКЦИОННЫХ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</w:t>
      </w:r>
      <w:hyperlink w:history="0" w:anchor="P70" w:tooltip="ПОЛОЖЕНИЕ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487" w:tooltip="РЕКОМЕНДУЕМЫЕ ШТАТНЫЕ НОРМАТИВЫ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больных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стационарных условиях больным инфекционными заболеваниями при наличии медицинских показаний, указанных в </w:t>
      </w:r>
      <w:hyperlink w:history="0" w:anchor="P43" w:tooltip="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возможно также при самообращении больного инфекционными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- бригадами (в том числе реанимационными)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</w:t>
      </w:r>
      <w:hyperlink w:history="0" r:id="rId10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норм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Выписка больных инфекционными заболеваниями из стационара медицинской организации осуществляется в соответствии с санитарно-эпидемиологическими </w:t>
      </w:r>
      <w:hyperlink w:history="0" r:id="rId11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      </w:r>
            <w:hyperlink w:history="0" r:id="rId12" w:tooltip="Постановление Главного государственного санитарного врача РФ от 04.02.2016 N 11 (ред. от 20.04.2016) &quot;О представлении внеочередных донесений о чрезвычайных ситуациях санитарно-эпидемиологического характера&quot; (вместе с &quot;Порядком представления внеочередных донесений о возникновении чрезвычайных ситуаций санитарно-эпидемиологического характера&quot;) (Зарегистрировано в Минюсте России 24.03.2016 N 41525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04.02.2016 N 11.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установления диагноза (по телефону), а затем в течение 12 часов (письменно) по </w:t>
      </w:r>
      <w:hyperlink w:history="0" r:id="rId13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экстренного извещения.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jc w:val="right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ОТДЕЛЕНИЯ (КАБИНЕТА)</w:t>
      </w:r>
    </w:p>
    <w:p>
      <w:pPr>
        <w:pStyle w:val="2"/>
        <w:jc w:val="center"/>
      </w:pPr>
      <w:r>
        <w:rPr>
          <w:sz w:val="20"/>
        </w:rPr>
        <w:t xml:space="preserve">ИНФЕКЦИОННЫХ ЗАБОЛЕВАНИЙ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ПЕРВИЧНУЮ МЕДИКО-САНИТАРНУЮ ПОМОЩЬ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 Отделение (кабинет)).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</w:t>
      </w:r>
      <w:hyperlink w:history="0" w:anchor="P120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обеспечения функций Отделения (кабинета) в его структуре могут предусматриваться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врача-инфекциониста;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врача-эпидемиолога;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Отделением (кабинетом) - врача-инфекциониста назначается специалист, соответствующий Квалификационным </w:t>
      </w:r>
      <w:hyperlink w:history="0"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Квалификационным </w:t>
      </w:r>
      <w:hyperlink w:history="0" r:id="rId15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врача Отделения (кабинета) назначается специалист, соответствующий Квалификационным </w:t>
      </w:r>
      <w:hyperlink w:history="0"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должности среднего медицинского персонала Отделения (кабинета) назначаются специалисты, соответствующие Квалификационным </w:t>
      </w:r>
      <w:hyperlink w:history="0" r:id="rId17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(кабинет) оснащается в соответствии со Стандартом оснащения Отделения (кабинета) согласно </w:t>
      </w:r>
      <w:hyperlink w:history="0" w:anchor="P160" w:tooltip="СТАНДАРТ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основным функциям Отделения (кабинета)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острыми и хроническими инфекционными и паразитарными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распространения инфекционных и паразитарных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эпидемиологического мониторинга инфекционной и паразитарной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в установленном порядке отчетов 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реконвалесцентов после выписки из стационара;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 B, C, D,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работе дневного стационара;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больных инфекционными заболеваниями, бактерионосителей, вирусоносителей, паразитоносителей на основании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динамики инфекционной заболеваемости и смертности на территории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медицинского наблюдения за контактными лицами в очаге инфекционного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санитарно-просветительной работы по вопросам профилактики инфекционных и паразитарных заболеваний.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И ДРУГОГО ПЕРСОНАЛА ОТДЕЛЕНИЯ (КАБИНЕТА)</w:t>
      </w:r>
    </w:p>
    <w:p>
      <w:pPr>
        <w:pStyle w:val="2"/>
        <w:jc w:val="center"/>
      </w:pPr>
      <w:r>
        <w:rPr>
          <w:sz w:val="20"/>
        </w:rPr>
        <w:t xml:space="preserve">ИНФЕКЦИОННЫХ ЗАБОЛЕВАНИЙ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ПЕРВИЧНУЮ МЕДИКО-САНИТАРНУЮ ПОМОЩЬ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Нормативы не распространяются на медицинские организации частной системы здравоохранения.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0"/>
        <w:gridCol w:w="5272"/>
      </w:tblGrid>
      <w:tr>
        <w:tc>
          <w:tcPr>
            <w:tcW w:w="4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(кабинетом) - врач-инфекционист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при числе должностей врачей-инфекционистов 5 - 8 - вместо 0,5 должности врача-инфекциониста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Врач-инфекционист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20 тыс. населения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Врач-эпидемиолог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и более посещений в день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врача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10 должностей врачей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 отделения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заведующего отделением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врача-эпидемиолога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число посещений до 300 в день; 1 (вместе с врачом-эпидемиологом) на 700 и более посещений в день</w:t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Санитарка-уборщица врачебных кабинетов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1 на 3 должности врача-инфекциониста, 1 на каждую должность медсестры процедурной, но не более 1 должности в смену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jc w:val="center"/>
      </w:pPr>
      <w:r>
        <w:rPr>
          <w:sz w:val="20"/>
        </w:rPr>
      </w:r>
    </w:p>
    <w:bookmarkStart w:id="160" w:name="P160"/>
    <w:bookmarkEnd w:id="16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(КАБИНЕТА) ИНФЕКЦИОННЫХ ЗАБОЛЕВАНИЙ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ПЕРВИЧНУЮ</w:t>
      </w:r>
    </w:p>
    <w:p>
      <w:pPr>
        <w:pStyle w:val="2"/>
        <w:jc w:val="center"/>
      </w:pPr>
      <w:r>
        <w:rPr>
          <w:sz w:val="20"/>
        </w:rPr>
        <w:t xml:space="preserve">МЕДИКО-САНИТАРНУЮ ПОМОЩЬ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814"/>
        <w:gridCol w:w="1474"/>
      </w:tblGrid>
      <w:tr>
        <w:tc>
          <w:tcPr>
            <w:tcW w:w="73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оборудования/оснащения</w:t>
            </w:r>
          </w:p>
        </w:tc>
        <w:tc>
          <w:tcPr>
            <w:gridSpan w:val="2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кабинет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врача-инфекциониста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кабинетов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кабинетов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 для инструментов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Столик процедурный передвижной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Шкаф для инструментов и медикаментов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&lt;**&gt;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кабинетов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Стерилизаторы медицинские </w:t>
            </w:r>
            <w:hyperlink w:history="0" w:anchor="P245" w:tooltip="&lt;***&gt; При отсутствии в структуре медицинской организации централизованной стерилизационной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кабинетов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Языкодержатель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Мешок Амбу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Очки защитные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кабинетов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Аптечка экстренной профилактики парентеральных инфекций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помощи при анафилактическом шоке </w:t>
            </w:r>
            <w:hyperlink w:history="0" w:anchor="P242" w:tooltip="&lt;*&gt; Для процедурного кабине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6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одежды защитной для работы в очагах особо опасной инфекции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потребности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потребности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с педикулоцидными средствами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дезинфекционных средств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потребности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hyperlink w:history="0" r:id="rId3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Для процедурного кабинета.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31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hyperlink w:history="0" r:id="rId3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&lt;***&gt;</w:t>
        </w:r>
      </w:hyperlink>
      <w:r>
        <w:rPr>
          <w:sz w:val="20"/>
        </w:rPr>
        <w:t xml:space="preserve"> При отсутствии в структуре медицинской организации централизованной стерилизационной.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ИНФЕКЦИОННОГО ОТДЕЛЕНИЯ</w:t>
      </w:r>
    </w:p>
    <w:p>
      <w:pPr>
        <w:pStyle w:val="2"/>
        <w:jc w:val="center"/>
      </w:pPr>
      <w:r>
        <w:rPr>
          <w:sz w:val="20"/>
        </w:rPr>
        <w:t xml:space="preserve">МНОГОПРОФИЛЬНОЙ БОЛЬНИЦЫ (ИНФЕКЦИОННОЙ БОЛЬНИЦЫ)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инфекционного отделения многопрофильной больницы (инфекционной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Инфекционное отделение многопрофильной больницы (инфекционной больницы) (далее - Отделение) является структурным подразделением медицинской организации,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может быть смешанным (для госпитализации больных с различными инфекциями) или специализированным (для госпитализации больных с определенной инфекцией).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Отделение должно иметь не менее 50% боксированных палат от общего числа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медицинского и другого персонала отделения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</w:t>
      </w:r>
      <w:hyperlink w:history="0" w:anchor="P293" w:tooltip="РЕКОМЕНДУЕМЫЕ ШТАТНЫЕ НОРМАТИВЫ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Отделением - врача-инфекциониста назначается специалист, соответствующий Квалификационным </w:t>
      </w:r>
      <w:hyperlink w:history="0"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"инфекционные болезни", а также Квалификационным </w:t>
      </w:r>
      <w:hyperlink w:history="0" r:id="rId35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должность врача-инфекциониста Отделения назначается специалист, соответствующий Квалификационным </w:t>
      </w:r>
      <w:hyperlink w:history="0" r:id="rId3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должности среднего медицинского персонала Отделения назначаются специалисты, соответствующие Квалификационным </w:t>
      </w:r>
      <w:hyperlink w:history="0" r:id="rId37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оснащается в соответствии со Стандартом оснащения Отделения согласно </w:t>
      </w:r>
      <w:hyperlink w:history="0" w:anchor="P160" w:tooltip="СТАНДАРТ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процессе повышения профессиональной квалификации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санитарно-просветительной работы с пациентами (по гигиеническому воспитанию пациентов и их родственников);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jc w:val="center"/>
      </w:pPr>
      <w:r>
        <w:rPr>
          <w:sz w:val="20"/>
        </w:rPr>
      </w:r>
    </w:p>
    <w:bookmarkStart w:id="293" w:name="P293"/>
    <w:bookmarkEnd w:id="293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И ДРУГОГО ПЕРСОНАЛА ИНФЕКЦИОННОГО ОТДЕЛЕНИЯ</w:t>
      </w:r>
    </w:p>
    <w:p>
      <w:pPr>
        <w:pStyle w:val="2"/>
        <w:jc w:val="center"/>
      </w:pPr>
      <w:r>
        <w:rPr>
          <w:sz w:val="20"/>
        </w:rPr>
        <w:t xml:space="preserve">МНОГОПРОФИЛЬНОЙ БОЛЬНИЦЫ (ИНФЕКЦИОННОЙ БОЛЬНИЦЫ)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Нормативы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5102"/>
      </w:tblGrid>
      <w:tr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при работе круглосуточно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врач-инфекционист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Врач-инфекционист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 (1 круглосуточный пост) на 15 коек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палатная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2" w:name="P332"/>
    <w:bookmarkEnd w:id="33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ИНФЕКЦИОННОГО ОТДЕЛЕНИЯ МНОГОПРОФИЛЬНОЙ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 (ИНФЕКЦИОННОЙ БОЛЬНИЦЫ)</w:t>
      </w:r>
    </w:p>
    <w:p>
      <w:pPr>
        <w:pStyle w:val="2"/>
        <w:jc w:val="center"/>
      </w:pPr>
      <w:r>
        <w:rPr>
          <w:sz w:val="20"/>
        </w:rPr>
        <w:t xml:space="preserve">(С ПАЛАТОЙ ИНТЕНСИВНОЙ ТЕРАПИИ НА 3 КОЙКИ)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7"/>
        <w:gridCol w:w="2475"/>
      </w:tblGrid>
      <w:tr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оборудования/оснащения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для перевозки больных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Штатив медицинский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шкаф для хранения растворов и медикаментов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Столик инструментальный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blPrEx>
          <w:tblBorders>
            <w:insideH w:val="nil"/>
          </w:tblBorders>
        </w:tblPrEx>
        <w:tc>
          <w:tcPr>
            <w:tcW w:w="844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7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109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Стерилизаторы медицинские воздушные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Термостат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Языкодержатель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blPrEx>
          <w:tblBorders>
            <w:insideH w:val="nil"/>
          </w:tblBorders>
        </w:tblPrEx>
        <w:tc>
          <w:tcPr>
            <w:tcW w:w="84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 </w:t>
            </w:r>
            <w:hyperlink w:history="0" w:anchor="P416" w:tooltip="&lt;**&gt; При отсутствии в структуре медицинской организации централизованной стерилизационно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4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109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электрокардиограф с возможностью автономной работы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Глюкометр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Вакуумный электроотсос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Консоль реанимационная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койку палаты интенсивной терапии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Манипуляционный передвижной столик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хирургический передвижной 3-х рефлекторный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Сейф для медикаментов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Мешок Амбу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дренирования плевральной полости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слепой пункционной биопсии печени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помощи при анафилактическом шоке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экстренной профилактики парентеральных инфекций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защитной одежды для работы в очагах особо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опасных инфекций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с педикулоцидными средствами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дезинфекционных средств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потребности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41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hyperlink w:history="0" r:id="rId4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При отсутствии в структуре медицинской организации централизованной стерилизационной.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ИНФЕКЦИОННОЙ БОЛЬНИЦЫ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инфекционной больницы.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Инфекционная больница является медицинской организацией, оказывающей медицинскую помощь больным инфекционными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медицинского и иного персонала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согласно </w:t>
      </w:r>
      <w:hyperlink w:history="0" w:anchor="P487" w:tooltip="РЕКОМЕНДУЕМЫЕ ШТАТНЫЕ НОРМАТИВЫ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главного врача инфекционной больницы назначается специалист, соответствующий Квалификационным </w:t>
      </w:r>
      <w:hyperlink w:history="0" r:id="rId44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w:history="0" w:anchor="P332" w:tooltip="СТАНДАРТ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взрослым больным при инфекционных заболеваниях, утвержденному настоящим приказом, оснащение специализированных отделений (кабинетов) для оказания отдельных видов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 видов медицинской помощи (по профилям), а также санитарно-эпидемиологическими </w:t>
      </w:r>
      <w:hyperlink w:history="0" r:id="rId45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структуре инфекционной больницы рекомендуется предусматривать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приемное (боксированное)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инфекционные отделения;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отделения (кабинеты) для оказания отдельных видов медицинской помощи (по профилям) больным инфекционными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(палаты)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амбулаторное отделение,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консультативно-диагностическое отделение (кабинет),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(кабинет) диспансерного отделения,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физиотерапевтическое отделение (кабинет);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рентгенодиагностическое отделение (кабинет);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(кабинет) эндоскопии,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(кабинет) ультразвуковой диагностики,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(кабинет) функциональной диагностики,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(кабинет) медицинской профилактики,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лабораторно-диагностическое отделение,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клинико-диагностическую лабораторию, в том числе осуществляющую паразитологические и бактериоскопические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микробиологические лаборатории, в том числе лаборатории, осуществляющие работы с возбудителями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иммунологическую лабораторию;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патологоанатомическое отделение с моргом;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эпидемиологический отдел;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 и кабинет медицинской 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дезинфекционную камеру;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централизованное стерилизационное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аптеку;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прачечную.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Инфекционная больница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 медицинской помощи в соответствии с утвержденными стандартами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квалификации медицинского персонала инфекционной больницы и иных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 отделениями (кабинетами) инфекционных болезней поликлиник;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медицинской деятельности, изучение причин летальных исходов и отдельных результатов лечения инфекционных и паразитарных заболеваний, в том числе изучения причин летальных исходов;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организационно-методическая помощь кабинетам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предоставление в установленном </w:t>
      </w:r>
      <w:hyperlink w:history="0" r:id="rId46" w:tooltip="Постановление Главного государственного санитарного врача РФ от 04.02.2016 N 11 (ред. от 20.04.2016) &quot;О представлении внеочередных донесений о чрезвычайных ситуациях санитарно-эпидемиологического характера&quot; (вместе с &quot;Порядком представления внеочередных донесений о возникновении чрезвычайных ситуаций санитарно-эпидемиологического характера&quot;) (Зарегистрировано в Минюсте России 24.03.2016 N 4152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сведений о регистрируемой инфекционной заболеваемости, возникновении или выявлении случаев внутрибольничной инфекции, поздней госпитализации больного и иных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взрослым больным</w:t>
      </w:r>
    </w:p>
    <w:p>
      <w:pPr>
        <w:pStyle w:val="0"/>
        <w:jc w:val="right"/>
      </w:pPr>
      <w:r>
        <w:rPr>
          <w:sz w:val="20"/>
        </w:rPr>
        <w:t xml:space="preserve">при инфекционных заболеваниях,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2012 г. N 69н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7" w:name="P487"/>
    <w:bookmarkEnd w:id="48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И ДРУГОГО ПЕРСОНАЛА ИНФЕКЦИОННОЙ БОЛЬНИЦЫ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Нормативы не распространяются на медицинские организации частной системы здравоохранения.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6803"/>
      </w:tblGrid>
      <w:tr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врач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структурным подразделением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коек, в отделении для больных менингитом и полиомиелитом - 1 на 30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приемным отделением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(в больнице на 250 и более коек)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лабораторией, рентгеновским кабинетом, физиотерапевтическим кабинетом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(в случаях, когда больнице полагается не менее одной должности врача соответствующей специальности (вместо одной из должности врача))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патологоанатомического отделения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 5 должностей врачей-патологоанатомов - вместо 1 должности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до 10 должностей врачей-патологоанатомов - вместо 0,5 - 0,75 должности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 до 15 должностей врачей-патологоанатомов - вместо 0,25 - 0,5 должности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15 должностей врачей-патологоанатомов - сверх должностей врачей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по медицинской части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Врач-инфекционист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20 коек инфекционного отделения для взрослых;</w:t>
            </w:r>
          </w:p>
          <w:p>
            <w:pPr>
              <w:pStyle w:val="0"/>
            </w:pPr>
            <w:r>
              <w:rPr>
                <w:sz w:val="20"/>
              </w:rPr>
              <w:t xml:space="preserve">15 коек инфекционного боксированного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отделения для больных менингитом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Врач-специалист для обслуживания больных по специальностям, по которым в составе больницы нет соответствующих отделений (коек)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устанавливаются по всем специальностям суммарно: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от 75 до 150 коек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свыше 150 до 300 коек - 3;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свыше 300 до 500 коек - 5;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свыше 500 до 1000 коек - 8;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свыше 1000 коек - 10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0,5 - 1 (в больницах от 250 коек, на которые возложено обслуживание по городу (району) инфекционных больных, требующих хирургического лечения, при наличии в этих больницах оборудованного операционного блока), свыше 400 коек - 5,5 (1 круглосуточный пост)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Врач-анестезиолог-реаниматолог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 (в больницах на 400 и более коек)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120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Врач-микробиолог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120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оборудованного рентгеновского кабинета: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от 75 до 500 коек из расчета 1 на каждые 300 коек, но не менее 0,5;</w:t>
            </w:r>
          </w:p>
          <w:p>
            <w:pPr>
              <w:pStyle w:val="0"/>
            </w:pPr>
            <w:r>
              <w:rPr>
                <w:sz w:val="20"/>
              </w:rPr>
              <w:t xml:space="preserve">в больницах свыше 500 коек из расчета 1 на каждые 400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Врач-физиотерапевт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 по лечебной физкультуре (или инструктор-методист по лечебной физкультуре)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(при наличии 500 и более коек)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Врач-диетолог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500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 функциональной диагностики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500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 (приемного отделения)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5,5 (1 круглосуточный пост в больницах на 500 и более коек)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 (для оказания помощи больным в стационаре)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400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Врач-патологоанатом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(в больницах на 150 и более коек)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200 вскрытий умерших в возрасте 15 лет и старше;</w:t>
            </w:r>
          </w:p>
          <w:p>
            <w:pPr>
              <w:pStyle w:val="0"/>
            </w:pPr>
            <w:r>
              <w:rPr>
                <w:sz w:val="20"/>
              </w:rPr>
              <w:t xml:space="preserve">4000 исследований биопсийного и операционного материала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Врач-эпидемиолог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клинический фармаколог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150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Врач-статистик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Врач-методист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(в одной из инфекционных больниц)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5,5 (1 круглосуточный пост):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 коек инфекционного отделения для взрослых;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10 коек инфекционного боксированного отделения, отделения для больных менингитом;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по массажу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125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по физиотерапии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15 тысяч условных физиотерапевтических единиц в год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функциональной диагностики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врачей функциональной диагностики, но не менее 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приемного отделения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150 - 250 коек - 1;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250 до 600 коек - 5,5 (1 круглосуточный пост);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600 коек - 5,5 (1 круглосуточный пост) на 600 коек и дополнительно по 1 на каждые последующие 100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операционная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врачей-хирургов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сестра-анестезист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5,7 (1 круглосуточный пост) в больницах на 400 и более коек для обеспечения реанимационной помощи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кабинета ректороманоскопии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 для больных желудочно-кишечными инфекциями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диетическая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200 коек, но не менее 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на: 400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работы в справочном бюро в учреждении на 500 коек, но не менее 1 в учреждении со стационаром на 250 и более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работы в архиве учреждения - на 500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статистик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заведующих отделениями;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физиотерапевтическом кабинете (отделении) - при наличии в штате учреждения не менее 4-х должностей медицинских сестер по физиотерапии вместо 1 из них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лечебной физкультуре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лабораторный техник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50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3 для проведения микробиологических исследований - в больницах на 400 и более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1,5 на каждую должность врача-патологоанатома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врачей-рентгенологов;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1 - для обслуживания рентгеновского архива в больницах от 500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эпидемиолога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коек, в больнице до 300 коек - 1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стоматологического кабинета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должности врача-стоматолога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архивом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3 должности архивариусов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(палатная)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числу медицинских сестер палатных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(буфетчица)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(уборщица)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(ваннщица)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(операционной)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должностями операционной медицинской сестры из расчета 1 к 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рентгеновского кабинета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в смену на каждый используемый рентгеновский аппарат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приемного отделения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150 - 200 коек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наличии свыше 200 до 300 коек - 5,5 (1 круглосуточный пост);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наличии свыше 300 до 500 коек - 11 (2 круглосуточных поста);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наличии более 500 коек - 11 (2 круглосуточных поста) на 500 коек и дополнительно 5,5 (1 круглосуточный пост) на каждые последующие 200 коек.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В штате приемного отделения больницы на 600 и более коек дополнительно устанавливается 1 должность санитарки для приема вещей от поступающих больных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кабинетов функциональной диагностики, ректороманоскопии, операционного блока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медицинских сестер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стоматологического кабинета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соответственно должностям врачей-стоматологов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физиотерапевтического кабинета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2 должности медицинских сестер по физиотерапии, а при проведении водо-грязе-торфо-озокерито-парафино-лечения - на 1 должность медицинской сестры, занятой отпуском указанных процедур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лаборатории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4 должности врачей клинической лабораторной диагностики, медицинских лабораторных техников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для переноски и сопровождения больных в лечебно-диагностические отделения (кабинеты)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100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патологоанатомического отделения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каждую должность врача-патологоанатома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Дезинфектор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аптекой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заведующего аптекой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в больницах на 500 и более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Провизор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 больнице от 150 до 300 коек - 1 должность;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300 коек - 2;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300 коек: 2 и дополнительно из расчета 2 на каждые 200 коек (сверх 300);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 для внутриаптечного приготовления лекарств, растворов: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500 до 600 коек - 1;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600 коек - 1 и дополнительно 1 на каждые 500 (сверх 600)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 больнице от 200 до 500 коек - 0,5;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500 до 600 коек - 1;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600 коек - 1 и дополнительно 1 должность из расчета на каждые 600 коек (сверх 500);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 для внутриаптечного приготовления лекарств, растворов из расчета 1 должность на 300 коек; при наличии хирургических коек - из расчета 1 должность на 100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Фасовщица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 больнице от 300 коек из расчета 1 на 300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(мойщица)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0,4 на каждую должность провизора и фармацевта, но не менее 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Шеф-повар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в больницах с числом коек 400 и более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Повар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50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Чистильщик плодоовощей и картофеля, мойщик посуды, кухонный и подсобный рабочий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1 на 50 коек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31.01.2012 N 69н</w:t>
            <w:br/>
            <w:t>(ред. от 21.02.2020)</w:t>
            <w:br/>
            <w:t>"Об утверждении порядка оказания медицинской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31.01.2012 N 69н</w:t>
            <w:br/>
            <w:t>(ред. от 21.02.2020)</w:t>
            <w:br/>
            <w:t>"Об утверждении порядка оказания медицинской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88DAD3F0D78A474522B5414F9F8DF3DF31CBB7597EC89090323777559F34CEC550986B2E9E58E30062366FD27C25C6EDB6DA4B24981C6Bl9IEJ" TargetMode = "External"/>
	<Relationship Id="rId8" Type="http://schemas.openxmlformats.org/officeDocument/2006/relationships/hyperlink" Target="consultantplus://offline/ref=3988DAD3F0D78A474522B5414F9F8DF3DF37CEBE5979C89090323777559F34CEC55098692B9A53B3582D3733942836C4E4B6D84338l9I9J" TargetMode = "External"/>
	<Relationship Id="rId9" Type="http://schemas.openxmlformats.org/officeDocument/2006/relationships/hyperlink" Target="consultantplus://offline/ref=3988DAD3F0D78A474522B5414F9F8DF3DF31CBB7597EC89090323777559F34CEC550986B2E9E58E30062366FD27C25C6EDB6DA4B24981C6Bl9IEJ" TargetMode = "External"/>
	<Relationship Id="rId10" Type="http://schemas.openxmlformats.org/officeDocument/2006/relationships/hyperlink" Target="consultantplus://offline/ref=3988DAD3F0D78A474522B5414F9F8DF3DA37C5B2597EC89090323777559F34CED750C0672C9F46E70177603E94l2IAJ" TargetMode = "External"/>
	<Relationship Id="rId11" Type="http://schemas.openxmlformats.org/officeDocument/2006/relationships/hyperlink" Target="consultantplus://offline/ref=170515A2E3220844F1F6F379417C2BBCDB7666A02D12413F99741F540E84EFD49B65CEE9FEEA2E8A30EBF08C64B091D259B69D4513FE25B8mAI4J" TargetMode = "External"/>
	<Relationship Id="rId12" Type="http://schemas.openxmlformats.org/officeDocument/2006/relationships/hyperlink" Target="consultantplus://offline/ref=170515A2E3220844F1F6F379417C2BBCDE7E68A02C13413F99741F540E84EFD49B65CEE9FEEA2F8035EBF08C64B091D259B69D4513FE25B8mAI4J" TargetMode = "External"/>
	<Relationship Id="rId13" Type="http://schemas.openxmlformats.org/officeDocument/2006/relationships/hyperlink" Target="consultantplus://offline/ref=170515A2E3220844F1F6E470461D7EEFD2746EAE2D1C413F99741F540E84EFD49B65CEE9FEEB2F8035EBF08C64B091D259B69D4513FE25B8mAI4J" TargetMode = "External"/>
	<Relationship Id="rId14" Type="http://schemas.openxmlformats.org/officeDocument/2006/relationships/hyperlink" Target="consultantplus://offline/ref=170515A2E3220844F1F6F379417C2BBCDE7567AF2011413F99741F540E84EFD49B65CEE9FEEA2F8238EBF08C64B091D259B69D4513FE25B8mAI4J" TargetMode = "External"/>
	<Relationship Id="rId15" Type="http://schemas.openxmlformats.org/officeDocument/2006/relationships/hyperlink" Target="consultantplus://offline/ref=170515A2E3220844F1F6F379417C2BBCDC776FAD2C17413F99741F540E84EFD49B65CEE9FEEA2F8331EBF08C64B091D259B69D4513FE25B8mAI4J" TargetMode = "External"/>
	<Relationship Id="rId16" Type="http://schemas.openxmlformats.org/officeDocument/2006/relationships/hyperlink" Target="consultantplus://offline/ref=170515A2E3220844F1F6F379417C2BBCDE7567AF2011413F99741F540E84EFD49B65CEE9FEEA2F8238EBF08C64B091D259B69D4513FE25B8mAI4J" TargetMode = "External"/>
	<Relationship Id="rId17" Type="http://schemas.openxmlformats.org/officeDocument/2006/relationships/hyperlink" Target="consultantplus://offline/ref=170515A2E3220844F1F6F379417C2BBCDC776FAD2C17413F99741F540E84EFD49B65CEE9FEEA2F8331EBF08C64B091D259B69D4513FE25B8mAI4J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170515A2E3220844F1F6F379417C2BBCDB7468A82514413F99741F540E84EFD49B65CEE9FEEA2F8731EBF08C64B091D259B69D4513FE25B8mAI4J" TargetMode = "External"/>
	<Relationship Id="rId21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2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3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4" Type="http://schemas.openxmlformats.org/officeDocument/2006/relationships/hyperlink" Target="consultantplus://offline/ref=170515A2E3220844F1F6F379417C2BBCDB7468A82514413F99741F540E84EFD49B65CEE9FEEA2F8730EBF08C64B091D259B69D4513FE25B8mAI4J" TargetMode = "External"/>
	<Relationship Id="rId25" Type="http://schemas.openxmlformats.org/officeDocument/2006/relationships/hyperlink" Target="consultantplus://offline/ref=170515A2E3220844F1F6F379417C2BBCDB7468A82514413F99741F540E84EFD49B65CEE9FEEA2F8739EBF08C64B091D259B69D4513FE25B8mAI4J" TargetMode = "External"/>
	<Relationship Id="rId26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7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8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29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30" Type="http://schemas.openxmlformats.org/officeDocument/2006/relationships/hyperlink" Target="consultantplus://offline/ref=170515A2E3220844F1F6F379417C2BBCDB7468A82514413F99741F540E84EFD49B65CEE9FEEA2F8738EBF08C64B091D259B69D4513FE25B8mAI4J" TargetMode = "External"/>
	<Relationship Id="rId31" Type="http://schemas.openxmlformats.org/officeDocument/2006/relationships/hyperlink" Target="consultantplus://offline/ref=170515A2E3220844F1F6F379417C2BBCDD776FA92D10413F99741F540E84EFD49B65CEE9FEEA2F8334EBF08C64B091D259B69D4513FE25B8mAI4J" TargetMode = "External"/>
	<Relationship Id="rId32" Type="http://schemas.openxmlformats.org/officeDocument/2006/relationships/hyperlink" Target="consultantplus://offline/ref=170515A2E3220844F1F6F379417C2BBCDB7468A82514413F99741F540E84EFD49B65CEE9FEEA2F8737EBF08C64B091D259B69D4513FE25B8mAI4J" TargetMode = "External"/>
	<Relationship Id="rId33" Type="http://schemas.openxmlformats.org/officeDocument/2006/relationships/hyperlink" Target="consultantplus://offline/ref=170515A2E3220844F1F6F379417C2BBCDB7468A82514413F99741F540E84EFD49B65CEE9FEEA2F8739EBF08C64B091D259B69D4513FE25B8mAI4J" TargetMode = "External"/>
	<Relationship Id="rId34" Type="http://schemas.openxmlformats.org/officeDocument/2006/relationships/hyperlink" Target="consultantplus://offline/ref=170515A2E3220844F1F6F379417C2BBCDE7567AF2011413F99741F540E84EFD49B65CEE9FEEA2F8238EBF08C64B091D259B69D4513FE25B8mAI4J" TargetMode = "External"/>
	<Relationship Id="rId35" Type="http://schemas.openxmlformats.org/officeDocument/2006/relationships/hyperlink" Target="consultantplus://offline/ref=170515A2E3220844F1F6F379417C2BBCDC776FAD2C17413F99741F540E84EFD49B65CEE9FEEA2F8331EBF08C64B091D259B69D4513FE25B8mAI4J" TargetMode = "External"/>
	<Relationship Id="rId36" Type="http://schemas.openxmlformats.org/officeDocument/2006/relationships/hyperlink" Target="consultantplus://offline/ref=170515A2E3220844F1F6F379417C2BBCDE7567AF2011413F99741F540E84EFD49B65CEE9FEEA2F8238EBF08C64B091D259B69D4513FE25B8mAI4J" TargetMode = "External"/>
	<Relationship Id="rId37" Type="http://schemas.openxmlformats.org/officeDocument/2006/relationships/hyperlink" Target="consultantplus://offline/ref=170515A2E3220844F1F6F379417C2BBCDC776FAD2C17413F99741F540E84EFD49B65CEE9FEEA2F8331EBF08C64B091D259B69D4513FE25B8mAI4J" TargetMode = "External"/>
	<Relationship Id="rId38" Type="http://schemas.openxmlformats.org/officeDocument/2006/relationships/hyperlink" Target="consultantplus://offline/ref=170515A2E3220844F1F6F379417C2BBCDB7468A82514413F99741F540E84EFD49B65CEE9FEEA2F8431EBF08C64B091D259B69D4513FE25B8mAI4J" TargetMode = "External"/>
	<Relationship Id="rId39" Type="http://schemas.openxmlformats.org/officeDocument/2006/relationships/hyperlink" Target="consultantplus://offline/ref=170515A2E3220844F1F6F379417C2BBCDB7468A82514413F99741F540E84EFD49B65CEE9FEEA2F8430EBF08C64B091D259B69D4513FE25B8mAI4J" TargetMode = "External"/>
	<Relationship Id="rId40" Type="http://schemas.openxmlformats.org/officeDocument/2006/relationships/hyperlink" Target="consultantplus://offline/ref=170515A2E3220844F1F6F379417C2BBCDB7468A82514413F99741F540E84EFD49B65CEE9FEEA2F8439EBF08C64B091D259B69D4513FE25B8mAI4J" TargetMode = "External"/>
	<Relationship Id="rId41" Type="http://schemas.openxmlformats.org/officeDocument/2006/relationships/hyperlink" Target="consultantplus://offline/ref=170515A2E3220844F1F6F379417C2BBCDD776FA92D10413F99741F540E84EFD49B65CEE9FEEA2F8334EBF08C64B091D259B69D4513FE25B8mAI4J" TargetMode = "External"/>
	<Relationship Id="rId42" Type="http://schemas.openxmlformats.org/officeDocument/2006/relationships/hyperlink" Target="consultantplus://offline/ref=170515A2E3220844F1F6F379417C2BBCDB7468A82514413F99741F540E84EFD49B65CEE9FEEA2F8437EBF08C64B091D259B69D4513FE25B8mAI4J" TargetMode = "External"/>
	<Relationship Id="rId43" Type="http://schemas.openxmlformats.org/officeDocument/2006/relationships/hyperlink" Target="consultantplus://offline/ref=170515A2E3220844F1F6F379417C2BBCDB7468A82514413F99741F540E84EFD49B65CEE9FEEA2F8439EBF08C64B091D259B69D4513FE25B8mAI4J" TargetMode = "External"/>
	<Relationship Id="rId44" Type="http://schemas.openxmlformats.org/officeDocument/2006/relationships/hyperlink" Target="consultantplus://offline/ref=170515A2E3220844F1F6F379417C2BBCDC776FAD2C17413F99741F540E84EFD49B65CEE9FEEA2F8331EBF08C64B091D259B69D4513FE25B8mAI4J" TargetMode = "External"/>
	<Relationship Id="rId45" Type="http://schemas.openxmlformats.org/officeDocument/2006/relationships/hyperlink" Target="consultantplus://offline/ref=170515A2E3220844F1F6F379417C2BBCDB766BA02315413F99741F540E84EFD49B65CEE9FEEA2F8432EBF08C64B091D259B69D4513FE25B8mAI4J" TargetMode = "External"/>
	<Relationship Id="rId46" Type="http://schemas.openxmlformats.org/officeDocument/2006/relationships/hyperlink" Target="consultantplus://offline/ref=170515A2E3220844F1F6F379417C2BBCDE7E68A02C13413F99741F540E84EFD49B65CEE9FEEA2F8035EBF08C64B091D259B69D4513FE25B8mAI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31.01.2012 N 69н
(ред. от 21.02.2020)
"Об утверждении порядка оказания медицинской помощи взрослым больным при инфекционных заболеваниях"
(Зарегистрировано в Минюсте России 04.04.2012 N 23726)</dc:title>
  <dcterms:created xsi:type="dcterms:W3CDTF">2023-08-21T09:08:37Z</dcterms:created>
</cp:coreProperties>
</file>