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15.11.2012 N 931н</w:t>
              <w:br/>
              <w:t xml:space="preserve">"Об утверждении Порядка оказания медицинской помощи взрослому населению по профилю "нейрохирургия"</w:t>
              <w:br/>
              <w:t xml:space="preserve">(Зарегистрировано в Минюсте России 05.03.2013 N 27500)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марта 2013 г. N 27500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2012 г. N 931н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"НЕЙРОХИРУРГИЯ"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по профилю "нейрохирургия".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соцразвития РФ от 13.04.2011 N 317н &quot;Об утверждении Порядка оказания медицинской помощи взрослому населению при заболеваниях и травмах нервной системы нейрохирургического профиля&quot; (Зарегистрировано в Минюсте РФ 26.05.2011 N 2088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 (зарегистрирован Министерством юстиции Российской Федерации 26 мая 2011 г., регистрационный N 20882).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931н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"НЕЙРОХИРУРГИЯ"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взрослому населению по профилю "нейрохирургия".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взрослому населению по профилю "нейрохирургия"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помощь оказывается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Первичная медико-санитарная помощь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оказанию медицинской помощи, не требующей 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специализированной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осуществляется врачом-нейрохирургом.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w:history="0" r:id="rId9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самостоятельном обращении больного;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доставлении больного бригадой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оказывающие круглосуточную медицинскую помощь по профилю "нейрохирургия", "анестезиология и реанимация".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w:history="0"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Предварительный диагноз заболевания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Медицинская помощь оказывается на основе </w:t>
      </w:r>
      <w:hyperlink w:history="0"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Больные с черепно-мозговой травмой средней тяжести и тяжелой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2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3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w:history="0" r:id="rId14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После окончания срока оказания медицинской помощи в стационарных условиях нейрохирургического отделения, предусмотренного стандартами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Медицинские организации оказывают медицинскую помощь в соответствии с </w:t>
      </w:r>
      <w:hyperlink w:history="0" w:anchor="P96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652" w:tooltip="СТАНДАРТ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"нейрохирургия",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"__" _______ 2012 г. N 931н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НЕЙРОХИРУРГИЧЕСКОГО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является структурным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создается при наличии в медицинской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травматологии и ортопедии;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неврологического отделения;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челюстно-лицевой хирургии;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клинической 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172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w:history="0"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Квалификационными 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специальности "нейрохирургия".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Отделения осуществляется в соответствии со стандартом оснащения, предусмотренным </w:t>
      </w:r>
      <w:hyperlink w:history="0" w:anchor="P288" w:tooltip="СТАНДАРТ ОСНАЩЕНИЯ НЕЙРОХИРУРГИЧЕСКОГО ОТДЕЛЕНИЯ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history="0" w:anchor="P652" w:tooltip="СТАНДАРТ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палату (блок) реанимации и интенсивной терапии, составляющую не менее 20% коечного фонда Отделения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медицинской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ранней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лечебной физкультуры 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групповой условно-рефлекторной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для занятий на тренажерах;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дневного пребывания больных (холл);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хранения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класс клинической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сердечно-сосудистой, системы гомеостаза и прочее);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хирургического лечения и консервативной терапии при нейрохирургических заболеваниях;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нейропсихологов), включая хирургическое лечение и консервативную терапию, в том числе медицинскую реабилитацию, физиотерапию;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 проведение мероприятий по предупреждению развития осложнений нейрохирургического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в том числе неотложной, помощи врачам других специальностей по вопросам диагностики, лечения нейрохирургических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 больных с заболеваниями и состояниями нейрохирургического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направление больных с нейрохирургическими заболеваниями и повреждениями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"нейрохирургия",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931н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НЕЙРОХИРУРГИЧЕСКОГО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484"/>
        <w:gridCol w:w="4477"/>
        <w:gridCol w:w="3993"/>
      </w:tblGrid>
      <w:tr>
        <w:trPr>
          <w:trHeight w:val="249" w:hRule="atLeast"/>
        </w:trPr>
        <w:tc>
          <w:tcPr>
            <w:tcW w:w="60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Наименование должности       </w:t>
            </w:r>
          </w:p>
        </w:tc>
        <w:tc>
          <w:tcPr>
            <w:tcW w:w="4114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Количество должностей (из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расчета на 30 коек)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Заведующий        нейрохирургическим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отделением - врач-нейрохирург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Врач-нейрохирург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4,75 на 10 коек (для обеспечения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работы);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5,14 на 6 коек (для обеспечения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 в палате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(блоке) реанимации и интенсивной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терапии)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Врач-невролог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4,75 (для обеспечения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работы)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Врач-офтальмолог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Врач-оториноларинголог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Врач-физиотерапевт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 функциональной диагностики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устанавливается в соответствии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порядком и нормами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соответствующего структурного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подразделения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Врач-педиатр </w:t>
            </w:r>
            <w:hyperlink w:history="0" w:anchor="P270" w:tooltip="&lt;*&gt; Для медицинской организации, оказывающей медицинскую помощь по профилю &quot;педиатрия&quot;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Врач-уролог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 по лечебной физкультуре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Инструктор-методист по лечебной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физкультуре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Логопед    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Медицинский психолог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0,5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Старшая медицинская сестра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Операционная медицинская сестра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палатная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(постовая) 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коек;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на 6 коек (для обеспечения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 в палате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(блоке) реанимации и интенсивной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терапии)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процедурной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в смену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перевязочной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в смену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по массажу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устанавливается в соответствии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порядком и нормами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соответствующего структурного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подразделения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устанавливается в соответствии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порядком и нормами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соответствующего структурного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подразделения (для обеспечения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работы в кабинете функциональной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диагностики);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обеспечения работы в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кабинете врача-офтальмолога);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обеспечения работы в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кабинете врача-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оториноларинголога);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обеспечения работы в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кабинете врача-уролога)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по физиотерапии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тысяч условных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процедурных единиц в год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Сестра-хозяйка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Инструктор по лечебной физкультуре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 (для обеспечения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операционной);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2 (для обеспечения ухода за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больными);   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9,75 на 6 коек (для обеспечения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работы);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работы в буфете);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работы в процедурной);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работы в перевязочной);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уборки помещений)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медицинской организации, оказывающей медицинскую помощь по профилю "педиатрия".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"нейрохирургия",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931н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8" w:name="P288"/>
    <w:bookmarkEnd w:id="288"/>
    <w:p>
      <w:pPr>
        <w:pStyle w:val="0"/>
        <w:jc w:val="center"/>
      </w:pPr>
      <w:r>
        <w:rPr>
          <w:sz w:val="20"/>
        </w:rPr>
        <w:t xml:space="preserve">СТАНДАРТ ОСНАЩЕНИЯ НЕЙРОХИРУРГИЧЕСКОГО ОТДЕЛЕНИЯ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Стандарт оснащения нейрохирургического отделения</w:t>
      </w:r>
    </w:p>
    <w:p>
      <w:pPr>
        <w:pStyle w:val="0"/>
        <w:jc w:val="center"/>
      </w:pPr>
      <w:r>
        <w:rPr>
          <w:sz w:val="20"/>
        </w:rPr>
        <w:t xml:space="preserve">(за исключением операционной)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5687"/>
        <w:gridCol w:w="2662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80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Наименование оборудования (оснащения)     </w:t>
            </w:r>
          </w:p>
        </w:tc>
        <w:tc>
          <w:tcPr>
            <w:tcW w:w="2783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Требуемое количество,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шт. (из расчета на 30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коек)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нейрохирургических инструментов большой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нейрохирургический экстренный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3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измерения ликворного давления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5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искусственной вентиляции легких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 искусственной   вентиляции    легких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транспортный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искусственной  вентиляции  легких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продленной вентиляции новорожденных и детей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Дефибрилляторы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Иглы лигатурные (острая, тупая N 1, 2, 3)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игл  атравматических  с  впаянной  нитью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различного диаметра (0,6 - 0,10)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Иглодержатель сосудистый  для  атравматических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игл         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Катетеры самоудерживающиеся крупноголовчатые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уретральные различного типа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Канюли различного диаметра для  вентрикулярных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пункций (комплект)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13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Клей медицинский для склеивания  биологических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тканей      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14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Мониторы  простые  -   ЭКГ,   пульсоксиметрия,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неинвазивное давление, конечно-выдыхаемый CO2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3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15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Монитор транспортный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16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Допплерографическая установка  с  возможностью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двухканального мониторинга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17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Трубка силиконовая медицинская  дренажная (4 x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1,5; 5 x 1,5; 6 x 1,5; 7 x 1,5)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18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Устройство  для  активного  дренирования   ран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однократного применения 250 см3 и 500 см3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19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Шовный  атравматический  материал   с   иглами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стерильный (2/0 - 10/0)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20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Шпатель    нейрохирургический     двусторонний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различной ширины (8, 15, 20 мм)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6 каждый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21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Шприцы  2,  5,  10  мм  и   20   мм   разового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пользования в комплекте с иглами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22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Шприцы для промывания полостей (емкость 100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150 мл)     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23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Щипцы предохранительные для сверления черепа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24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Инфузоматы и перфузоры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15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25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Отсасыватели хирургические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26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Согревающие одеяла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2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27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Специальные кровати с возможностью взвешивания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автоматического  переворачивания  больных 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противопролежневыми системами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потребности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28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Противопролежневые системы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6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29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Оборудование  для  измерения   внутричерепного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давления с кабелем совместимости с  мониторной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системой    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3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30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Поручни  в  коридорах,   ванных   комнатах 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туалетах                                      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по количеству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помещений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31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Приспособления    для  умывания,   отправления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физиологических функций для кресельных больных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по количеству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помещений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Стандарт оснащения операционной</w:t>
      </w:r>
    </w:p>
    <w:p>
      <w:pPr>
        <w:pStyle w:val="0"/>
        <w:jc w:val="center"/>
      </w:pPr>
      <w:r>
        <w:rPr>
          <w:sz w:val="20"/>
        </w:rPr>
        <w:t xml:space="preserve">нейрохирургического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484"/>
        <w:gridCol w:w="4840"/>
        <w:gridCol w:w="1210"/>
        <w:gridCol w:w="1089"/>
        <w:gridCol w:w="1331"/>
      </w:tblGrid>
      <w:tr>
        <w:trPr>
          <w:trHeight w:val="249" w:hRule="atLeast"/>
        </w:trPr>
        <w:tc>
          <w:tcPr>
            <w:tcW w:w="60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61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Наименование оборудования (оснащения) </w:t>
            </w:r>
          </w:p>
        </w:tc>
        <w:tc>
          <w:tcPr>
            <w:gridSpan w:val="3"/>
            <w:tcW w:w="3993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Требуемое количество, шт.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до 30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коек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31 - 60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коек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более 60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коек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Аспиратор хирургический ультразвуковой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Аспиратор хирургический вакуумный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(бор) для  обработки  костей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костной   ткани    электрический    или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пневматический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       для          коагуляции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электрохирургический высокочастотный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         рентгенотелевизионный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передвижной хирургический с C-дугой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Коагулятор     высокочастотный    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микрохирургии с набором инструментов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Микроскоп  операционный   напольный  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монитором   изображения   операционного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поля             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    с    подлокотниками    мягкое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мобильное    с    гидроприводом   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операционной     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Навигационная     система     безрамная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(рамная)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Операционный стол (хирургический)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Система жесткой фиксации головы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Сканер                   ультразвуковой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интраоперационный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Стойка эндоскопическая (комплект)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Трепан               нейрохирургический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высокоскоростной   электрический    или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пневматический   с    набором    дрелей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различного диаметра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Бинокулярная    лупа    с    источником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освещения        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Электроэнцефалограф для операционной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Анализатор           кислотно-основного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равновесия крови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анестезиологический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гипотермии с  циркулирующей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жидкостью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для  получения  тромбоцитарной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фракции крови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Мешок дыхательный ручной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 ингаляционного   наркоза  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наркозно-дыхательный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скелетного вытяжения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1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Дефибриллятор кардиосинхронизированный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Комплекс   согревающий   анестезиолого-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реанимационный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Ларингоскоп для взрослых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Монитор анестезиологический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Насос       инфузионный       роликовый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(инфузомат)      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Планшет  для  определения  групп  крови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(микропланшет)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Светильник    (лампа)     операционный,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хирургический                          </w:t>
            </w: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   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 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3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Средства   индивидуальной   защиты   от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рентгеновского излучения (комплект)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нейрохирургических  инструментов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большой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        микронейрохирургического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инструментария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микрососудистого инструментария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хирургических  инструментов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малоинвазивного доступа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1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 операции  на  межпозвонковых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дисках 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 инструментов   для   сосудистой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хирургии общий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инструментов  для  наложения 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снятия клипс с сосудов головного  мозга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(клипсы   съемные   К-45   7,5   мм 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несъемные К-45 7 мм)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   для    измерения    ликворного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давления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Клипсы несъемные (комплект)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Клипсы   различной   конфигурации 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клипирования аневризм головного мозга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Клипсодержатель для несъемных клипс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Клипсодержатель    для    клипс     при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клипировании аневризм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Крючок  для  препаровки  периферических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нервов 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костные с двойным  изгибом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операции на позвоночнике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костные с  удлиненными  ручками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типа    Янсена    для    операции    на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позвоночнике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Пила проволочная витая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Проводник для проволочных пил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20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Проводник многоразовый  для  подкожного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проведения         люмбоперитонеального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катетера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Ранорасширитель      нейрохирургический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универсальный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Ранорасширитель с острыми губками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Ранорасширитель  реечный  для  операции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 позвоночнике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Распатор   для   позвоночника   прямой,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изогнутый (большой, малый)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Ручки к проволочным пилам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Скоба  для  скелетного   вытяжения   за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череп  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Канюли    различного    диаметра  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вентрикулярных пункций (комплект)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Клей   медицинский    для    склеивания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биологических тканей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Сверло    для     трепанации     черепа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Гребенюка-Танича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20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Средства    для    гемостаза     (марля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гемостатическая, губка, тахокомб)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Фреза  круглая  полая  (для   переднего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корпородеза)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Фреза для ламинэктомии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Фреза корончатая для трепанации черепа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Шина для фиксации позвоночника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с прямоугольными губками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  реберные   универсальные   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изогнутым ножом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костные по Пистону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с полукруглыми губками мощные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Дальгрена для взрослых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Дальгрена для детей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Кусачки  нейрохирургические   изогнутые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 плоскости (длина 220 мм)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Ложки    нейрохирургические    овальные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жесткие, мягкие и округлые (наборы)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Пинцет нейрохирургический изогнутый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Пинцет для твердой мозговой оболочки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20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Пинцет    для    хиазмальной    области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изогнутый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Пинцет  для  удержания  опухоли   мозга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окончатый  (большой,  средний,   малый)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(набор)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Пластина прямая и изогнутая N 1,  2,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для фиксации позвоночника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Трубка     силиконовая      медицинская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дренажная (4 x 1,5; 5 x 1,5; 6  x  1,5;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7 x 1,5)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Устройство для  активного  дренирования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ран однократного применения 250  см3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500 см3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Шовный   атравматический   материал  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иглами стерильный (2/0 - 10/0)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Шпатель              нейрохирургический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односторонний (двусторонний)  различной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ширины (6, 10, 20, 26 мм)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6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Шприцы 2, 5, 10 мм  и  20  мм  разового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пользования в комплекте с иглами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по потребности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Шприцы    для    промывания    полостей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(емкость 100 и 150 мл)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10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Шунты   низкого,   среднего,   высокого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давления для лечения гидроцефалии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5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Щипцы-кусачки   костные   шарнирные   с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двойной передачей  с  круглыми  губками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изогнутые по плоскости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Щипцы-кусачки   костные    с    прямыми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копьевидными губками мощные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3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Щипцы для  извлечения  осколков  костей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(длина 207 мм)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Щипцы предохранительные  для  сверления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черепа                                 </w:t>
            </w:r>
          </w:p>
        </w:tc>
        <w:tc>
          <w:tcPr>
            <w:gridSpan w:val="3"/>
            <w:tcW w:w="399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"нейрохирургия",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931н</w:t>
      </w:r>
    </w:p>
    <w:p>
      <w:pPr>
        <w:pStyle w:val="0"/>
        <w:jc w:val="center"/>
      </w:pPr>
      <w:r>
        <w:rPr>
          <w:sz w:val="20"/>
        </w:rPr>
      </w:r>
    </w:p>
    <w:bookmarkStart w:id="652" w:name="P652"/>
    <w:bookmarkEnd w:id="652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ДОПОЛНИТЕЛЬНОГО ОСНАЩЕНИЯ МЕДИЦИНСКОЙ ОРГАНИЗАЦИИ,</w:t>
      </w:r>
    </w:p>
    <w:p>
      <w:pPr>
        <w:pStyle w:val="0"/>
        <w:jc w:val="center"/>
      </w:pPr>
      <w:r>
        <w:rPr>
          <w:sz w:val="20"/>
        </w:rPr>
        <w:t xml:space="preserve">В СТРУКТУРЕ КОТОРОЙ СОЗДАНО НЕЙРОХИРУРГИЧЕСКОЕ ОТДЕЛЕНИЕ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484"/>
        <w:gridCol w:w="6655"/>
        <w:gridCol w:w="1815"/>
      </w:tblGrid>
      <w:tr>
        <w:trPr>
          <w:trHeight w:val="249" w:hRule="atLeast"/>
        </w:trPr>
        <w:tc>
          <w:tcPr>
            <w:tcW w:w="60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77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93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Требуемое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количество,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шт.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Томограф     магнитно-резонансный     или     томограф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рентгеновский компьютерный с программным  обеспечением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  сопутствующим   оборудованием    для    выполнения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исследований нервной системы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Комплекс ангиографический  с  возможностью  выполнения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эндоваскулярных     диагностических     и     лечебных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вмешательств   на   брахиоцефальных,   внутримозговых,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коронарных артериях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Автоматический инъектор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Шприцевая помпа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Комплекс    диагностический     для     ультразвуковых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исследований   с     возможностью         исследования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брахиоцефальных сосудов,  выполнения  транскраниальных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исследований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Портативный     диагностический      комплекс    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ультразвуковых исследований с возможностью  выполнения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чрезродничковых и интраоперационных исследований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  регистрации   вызванных   потенциалов    4-х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канальный компьютерный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Биомонитор  для  регистрации  артериального  давления,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электроэнцефалограммы, внутричерепного давления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2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Электроэнцефалограф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потребности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Оборудование  для  восстановления  мышечной  силы 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мелких мышц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потребности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Оборудование    для    восстановления     двигательной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активности, координации движений конечностей,  бытовой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деятельности и самообслуживания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потребности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677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Изделия   для   восстановления   мелкой   моторики   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координации   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потребности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931н</w:t>
            <w:br/>
            <w:t>"Об утверждении Порядка оказания медицинской помощи взрослому населению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88F0CABEE1A512035D447560A5E6416E16F70475DCDD6D179F07F28072B15D10962B99E98FED72289256A3208C6C6B970737E6A1y7KFM" TargetMode = "External"/>
	<Relationship Id="rId8" Type="http://schemas.openxmlformats.org/officeDocument/2006/relationships/hyperlink" Target="consultantplus://offline/ref=F088F0CABEE1A512035D447560A5E6416B12F1087CDEDD6D179F07F28072B15D02967397EE8AF82671C801AE20y8KEM" TargetMode = "External"/>
	<Relationship Id="rId9" Type="http://schemas.openxmlformats.org/officeDocument/2006/relationships/hyperlink" Target="consultantplus://offline/ref=F088F0CABEE1A512035D447560A5E6416B11F20E71DADD6D179F07F28072B15D02967397EE8AF82671C801AE20y8KEM" TargetMode = "External"/>
	<Relationship Id="rId10" Type="http://schemas.openxmlformats.org/officeDocument/2006/relationships/hyperlink" Target="consultantplus://offline/ref=F088F0CABEE1A512035D447560A5E6416B12F00576DFDD6D179F07F28072B15D10962B9BEC8BE62779DD57FF66D87F699E0735EEBD7E8441y6KEM" TargetMode = "External"/>
	<Relationship Id="rId11" Type="http://schemas.openxmlformats.org/officeDocument/2006/relationships/hyperlink" Target="consultantplus://offline/ref=F088F0CABEE1A512035D447560A5E6416B17F40A74DBDD6D179F07F28072B15D10962B9BEC8BE6267CDD57FF66D87F699E0735EEBD7E8441y6KEM" TargetMode = "External"/>
	<Relationship Id="rId12" Type="http://schemas.openxmlformats.org/officeDocument/2006/relationships/hyperlink" Target="consultantplus://offline/ref=F088F0CABEE1A512035D447560A5E6416B13F50B75DCDD6D179F07F28072B15D10962B9BEC8BE6257CDD57FF66D87F699E0735EEBD7E8441y6KEM" TargetMode = "External"/>
	<Relationship Id="rId13" Type="http://schemas.openxmlformats.org/officeDocument/2006/relationships/hyperlink" Target="consultantplus://offline/ref=F088F0CABEE1A512035D447560A5E6416E11F00A73DBDD6D179F07F28072B15D10962B9BEC8BE6277BDD57FF66D87F699E0735EEBD7E8441y6KEM" TargetMode = "External"/>
	<Relationship Id="rId14" Type="http://schemas.openxmlformats.org/officeDocument/2006/relationships/hyperlink" Target="consultantplus://offline/ref=F088F0CABEE1A512035D447560A5E6416B11F00471D2DD6D179F07F28072B15D10962B9BEC8BE62779DD57FF66D87F699E0735EEBD7E8441y6KEM" TargetMode = "External"/>
	<Relationship Id="rId15" Type="http://schemas.openxmlformats.org/officeDocument/2006/relationships/hyperlink" Target="consultantplus://offline/ref=F088F0CABEE1A512035D447560A5E6416B11FD0A70DEDD6D179F07F28072B15D10962B9BEC8BE62670DD57FF66D87F699E0735EEBD7E8441y6K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931н
"Об утверждении Порядка оказания медицинской помощи взрослому населению по профилю "нейрохирургия"
(Зарегистрировано в Минюсте России 05.03.2013 N 27500)</dc:title>
  <dcterms:created xsi:type="dcterms:W3CDTF">2023-08-21T12:10:49Z</dcterms:created>
</cp:coreProperties>
</file>