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19.04.2019 N 236н</w:t>
              <w:br/>
              <w:t xml:space="preserve">"О внесении изменений в приложение N 5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N 388н"</w:t>
              <w:br/>
              <w:t xml:space="preserve">(Зарегистрировано в Минюсте России 23.05.2019 N 54706)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мая 2019 г. N 54706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2019 г. N 236н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ПРИЛОЖЕНИЕ N 5 К ПОРЯДКУ ОКАЗАНИЯ СКОРОЙ,</w:t>
      </w:r>
    </w:p>
    <w:p>
      <w:pPr>
        <w:pStyle w:val="2"/>
        <w:jc w:val="center"/>
      </w:pPr>
      <w:r>
        <w:rPr>
          <w:sz w:val="20"/>
        </w:rPr>
        <w:t xml:space="preserve">В ТОМ ЧИСЛЕ СКОРОЙ СПЕЦИАЛИЗИРОВАННОЙ, МЕДИЦИНСКОЙ ПОМОЩИ,</w:t>
      </w:r>
    </w:p>
    <w:p>
      <w:pPr>
        <w:pStyle w:val="2"/>
        <w:jc w:val="center"/>
      </w:pPr>
      <w:r>
        <w:rPr>
          <w:sz w:val="20"/>
        </w:rPr>
        <w:t xml:space="preserve">УТВЕРЖДЕННОМУ ПРИКАЗОМ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20 ИЮНЯ 2013 Г. N 388Н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</w:t>
      </w:r>
      <w:hyperlink w:history="0" r:id="rId7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------------ Недействующая редакция {КонсультантПлюс}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N 388н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42283), согласно </w:t>
      </w:r>
      <w:hyperlink w:history="0" w:anchor="P30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апреля 2019 г. N 236н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ПРИЛОЖЕНИЕ N 5 К ПОРЯДКУ ОКАЗАНИЯ</w:t>
      </w:r>
    </w:p>
    <w:p>
      <w:pPr>
        <w:pStyle w:val="2"/>
        <w:jc w:val="center"/>
      </w:pPr>
      <w:r>
        <w:rPr>
          <w:sz w:val="20"/>
        </w:rPr>
        <w:t xml:space="preserve">СКОРОЙ, В ТОМ ЧИСЛЕ СКОРОЙ СПЕЦИАЛИЗИРОВАННОЙ, МЕДИЦИНСКОЙ</w:t>
      </w:r>
    </w:p>
    <w:p>
      <w:pPr>
        <w:pStyle w:val="2"/>
        <w:jc w:val="center"/>
      </w:pPr>
      <w:r>
        <w:rPr>
          <w:sz w:val="20"/>
        </w:rPr>
        <w:t xml:space="preserve">ПОМОЩИ, УТВЕРЖДЕННОМУ ПРИКАЗОМ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20 ИЮНЯ 2013 Г. N 388Н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позициями 7 - 7.39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"/>
        <w:gridCol w:w="7427"/>
        <w:gridCol w:w="1474"/>
      </w:tblGrid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воздушного судна: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Дефибриллятор-монитор (бифазный импульс, встроенный принтер, электроды взрослые и детские, функции электрокардиостимуляции, пульсоксиметрии и неинвазивного измерения артериального давления)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 портативный транспортный в комплекте со взрослым и детским датчиками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 системы для ингаляции кислорода - маска и трубка (взрослый и детский), набор дыхательных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Электроотсасыватель с бактериальным фильтром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7.7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компрессорный небулайзер (ингалятор)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7.8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7.9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 (дозатор лекарственных средств)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7.10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Щит спинальный с устройством для фиксации головы, рентгенпрозрачный, амагнитный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7.11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7.12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7.13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Шина для конечностей длиной 60 см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7.14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Шина для конечностей длиной 80 см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7.15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Шина для конечностей длиной 120 см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7.16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повязок разгружающих для верхней конечности (для взрослых и детей)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7.17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Косынка медицинская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7.18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Одеяло с подогревом (термоодеяло)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7.19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Матрас вакуумный иммобилизационный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7.20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специализированная (реанимационная) для оказания скорой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7.21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реанимационный для оказания скорой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7.22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реанимационный педиатрический для оказания скорой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7.23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акушерский для оказания скорой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7.24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Штатив разборный для вливаний с возможностью установки на полу и крепления к носилкам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7.25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7.26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7.27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газодыхательной аппаратурой)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7.28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Дезинфекционное средство (для обработки рук, объемом не менее 70 мл)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7.29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Дезинфекционное средство (для обработки поверхностей, объемом не менее 1 л)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7.30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 с дезинфицирующим раствором для использованных игл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7.31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 пластиковый для использованных инструментов, расходных материалов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7.32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 для медицинских отходов класса 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7.33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Мешки для медицинских отходов класса А и Б (объемом не менее 10 л)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7.34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7.35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медицинский транспортный или тележка-каталка со съемными носилками и штативом разборным для вливаний с автоматической расфиксацией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Тренделенбурга с приемным устройством тележки-каталки с поперечным перемещением и регулировкой высоты основных носилок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7.36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реанимационно-анестезиологический транспортный (мониторирование электрокардиограммы в 3-х отведениях; с функциями неинвазивного измерения артериального давления, капнометрии, пульсоксиметрии, измерения температуры тела пациента; со встроенным принтером, с возможностью переноса данных на компьютер)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7.37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аппарат для временной эндокардиальной и черезпищеводной электрокардиостимуляции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7.38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роликовый инфузионный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7.39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Костюм противошоковый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19.04.2019 N 236н</w:t>
            <w:br/>
            <w:t>"О внесении изменений в приложение N 5 к Порядку оказания скорой, в том чис...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6488DEAA477027084645D0CDB6E8C947A3E4D8D8D697B7010BF9E8C5AAD3D7F97D52615CF5FFB3D20FAC3AE27D6B665BF65FE951Z2XBI" TargetMode = "External"/>
	<Relationship Id="rId8" Type="http://schemas.openxmlformats.org/officeDocument/2006/relationships/hyperlink" Target="consultantplus://offline/ref=FC6488DEAA477027084645D0CDB6E8C947A3E4D8D8D697B7010BF9E8C5AAD3D7F97D52615CF5FFB3D20FAC3AE27D6B665BF65FE951Z2X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19.04.2019 N 236н
"О внесении изменений в приложение N 5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N 388н"
(Зарегистрировано в Минюсте России 23.05.2019 N 54706)</dc:title>
  <dcterms:created xsi:type="dcterms:W3CDTF">2023-08-22T08:23:25Z</dcterms:created>
</cp:coreProperties>
</file>